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Times New Roman" w:hAnsi="Times New Roman" w:eastAsia="微软雅黑" w:cs="Times New Roman"/>
          <w:b/>
          <w:bCs/>
          <w:i w:val="0"/>
          <w:iCs w:val="0"/>
          <w:caps w:val="0"/>
          <w:color w:val="333333"/>
          <w:spacing w:val="0"/>
          <w:sz w:val="24"/>
          <w:szCs w:val="24"/>
        </w:rPr>
      </w:pPr>
      <w:r>
        <w:rPr>
          <w:rFonts w:hint="default" w:ascii="Times New Roman" w:hAnsi="Times New Roman" w:eastAsia="微软雅黑" w:cs="Times New Roman"/>
          <w:b/>
          <w:bCs/>
          <w:i w:val="0"/>
          <w:iCs w:val="0"/>
          <w:caps w:val="0"/>
          <w:color w:val="333333"/>
          <w:spacing w:val="0"/>
          <w:sz w:val="24"/>
          <w:szCs w:val="24"/>
          <w:lang w:val="en-US" w:eastAsia="zh-CN"/>
        </w:rPr>
        <w:t>Announcement on deepening the relevant policies of VAT reform</w:t>
      </w:r>
    </w:p>
    <w:p>
      <w:pPr>
        <w:keepNext w:val="0"/>
        <w:keepLines w:val="0"/>
        <w:pageBreakBefore w:val="0"/>
        <w:widowControl/>
        <w:kinsoku/>
        <w:wordWrap/>
        <w:overflowPunct/>
        <w:topLinePunct w:val="0"/>
        <w:autoSpaceDE/>
        <w:autoSpaceDN/>
        <w:bidi w:val="0"/>
        <w:adjustRightInd/>
        <w:snapToGrid/>
        <w:spacing w:after="150"/>
        <w:ind w:firstLine="420" w:firstLineChars="200"/>
        <w:jc w:val="center"/>
        <w:textAlignment w:val="auto"/>
        <w:rPr>
          <w:rFonts w:hint="eastAsia" w:ascii="Times New Roman" w:hAnsi="Times New Roman" w:cs="Times New Roman"/>
          <w:color w:val="808080" w:themeColor="text1" w:themeTint="80"/>
          <w:kern w:val="0"/>
          <w:sz w:val="21"/>
          <w:szCs w:val="21"/>
          <w:lang w:val="en-US" w:eastAsia="zh-CN" w:bidi="ar"/>
          <w14:textFill>
            <w14:solidFill>
              <w14:schemeClr w14:val="tx1">
                <w14:lumMod w14:val="50000"/>
                <w14:lumOff w14:val="50000"/>
              </w14:schemeClr>
            </w14:solidFill>
          </w14:textFill>
        </w:rPr>
      </w:pPr>
      <w:r>
        <w:rPr>
          <w:rFonts w:hint="eastAsia" w:ascii="Times New Roman" w:hAnsi="Times New Roman" w:cs="Times New Roman"/>
          <w:color w:val="808080" w:themeColor="text1" w:themeTint="80"/>
          <w:kern w:val="0"/>
          <w:sz w:val="21"/>
          <w:szCs w:val="21"/>
          <w:lang w:val="en-US" w:eastAsia="zh-CN" w:bidi="ar"/>
          <w14:textFill>
            <w14:solidFill>
              <w14:schemeClr w14:val="tx1">
                <w14:lumMod w14:val="50000"/>
                <w14:lumOff w14:val="50000"/>
              </w14:schemeClr>
            </w14:solidFill>
          </w14:textFill>
        </w:rPr>
        <w:t>Announcement No. 39 of 2019 by the General Administration of Customs of the General Administration of Taxation of the Ministry of Finance</w:t>
      </w:r>
    </w:p>
    <w:p>
      <w:pPr>
        <w:keepNext w:val="0"/>
        <w:keepLines w:val="0"/>
        <w:pageBreakBefore w:val="0"/>
        <w:widowControl/>
        <w:kinsoku/>
        <w:wordWrap/>
        <w:overflowPunct/>
        <w:topLinePunct w:val="0"/>
        <w:autoSpaceDE/>
        <w:autoSpaceDN/>
        <w:bidi w:val="0"/>
        <w:adjustRightInd/>
        <w:snapToGrid/>
        <w:spacing w:after="15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In order to implement the decisions and arrangements of the CPC Central Committee and The State Council and promote the substantive reduction of value-added tax, the relevant matters concerning the 2019 value-added tax reform are hereby announced as follows: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1. For general VAT taxpayers (hereinafter referred to as taxpayers) who engage in VAT taxable sales or imported goods, the tax rate previously applied to 16% shall be adjusted to 13%; Where the tax rate used to be 10%, the tax rate shall be adjusted to 9%.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2. For taxpayers purchasing agricultural products, where the deduction rate used to be 10%, the deduction rate shall be adjusted to 9%. If a taxpayer purchases agricultural pr</w:t>
      </w:r>
      <w:bookmarkStart w:id="0" w:name="_GoBack"/>
      <w:bookmarkEnd w:id="0"/>
      <w:r>
        <w:rPr>
          <w:rFonts w:hint="eastAsia" w:ascii="Times New Roman" w:hAnsi="Times New Roman" w:cs="Times New Roman"/>
          <w:kern w:val="0"/>
          <w:sz w:val="21"/>
          <w:szCs w:val="21"/>
          <w:lang w:val="en-US" w:eastAsia="zh-CN" w:bidi="ar"/>
        </w:rPr>
        <w:t xml:space="preserve">oducts for production or commissioned processing of goods with a 13% tax rate, the input tax shall be calculated at the 10% deduction rate.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3. For export goods and services that used to be taxed at 16% and whose export tax rebate rate was 16%, the export tax rebate rate shall be adjusted to 13%; For export goods and cross-border taxable activities that used to be subject to 10% tax rate and the export tax rebate rate was 10%, the export tax rebate rate was adjusted to 9%.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Before June 30, 2019 (including April 1, 2019), the taxpayer exports the goods and services mentioned in the preceding paragraph, the cross-border taxable acts mentioned in the preceding paragraph, the VAT exemption and refund method is applicable, the VAT tax rebate rate before the adjustment shall be implemented, and the VAT tax rebate rate before the adjustment shall be levied at the time of purchase, and the VAT tax rate after the adjustment shall be levied at the time of purchase. The adjusted export tax rebate rate shall be implemented; Where VAT exemption measures are applicable, if the export tax rebate rate before the implementation of the adjustment is lower than the export tax rebate rate when calculating the tax rebate, the difference between the applicable tax rate and the export tax rebate rate shall be regarded as zero participation in the calculation of the tax rebate.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The execution time of export tax rebate rate, export goods and services, and the time of cross-border taxable acts shall be implemented in accordance with the following provisions: For goods and services declared for export (except for exports from bonded areas and through bonded areas), the export date indicated in the Customs export declaration shall prevail; For goods and services exported without customs declaration and cross-border taxable behavior, the issuing time of export invoice or ordinary invoice shall prevail; For goods exported from the bonded area or through the bonded area, the export date indicated in the record list of exit goods issued by the Customs when the goods leave the territory shall prevail. </w:t>
      </w:r>
    </w:p>
    <w:p>
      <w:pPr>
        <w:keepNext w:val="0"/>
        <w:keepLines w:val="0"/>
        <w:pageBreakBefore w:val="0"/>
        <w:widowControl/>
        <w:numPr>
          <w:ilvl w:val="0"/>
          <w:numId w:val="1"/>
        </w:numPr>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For the goods for which 13% tax rate is applicable, the tax refund rate shall be 11%; For goods with 9% tax rate, the tax rebate rate is 8%.</w:t>
      </w:r>
    </w:p>
    <w:p>
      <w:pPr>
        <w:keepNext w:val="0"/>
        <w:keepLines w:val="0"/>
        <w:pageBreakBefore w:val="0"/>
        <w:widowControl/>
        <w:numPr>
          <w:ilvl w:val="0"/>
          <w:numId w:val="0"/>
        </w:numPr>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Before June 30, 2019, where VAT is levied at the Ratios before adjustments, Ratios before adjustments tax rebate rate shall be implemented; If VAT is levied at the adjusted tax rate, the adjusted tax rebate rate shall be implemented. </w:t>
      </w:r>
    </w:p>
    <w:p>
      <w:pPr>
        <w:keepNext w:val="0"/>
        <w:keepLines w:val="0"/>
        <w:pageBreakBefore w:val="0"/>
        <w:widowControl/>
        <w:numPr>
          <w:ilvl w:val="0"/>
          <w:numId w:val="0"/>
        </w:numPr>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The execution time of the tax refund rate shall be based on the date of issue of the ordinary VAT invoice for the items to be refunded. </w:t>
      </w:r>
    </w:p>
    <w:p>
      <w:pPr>
        <w:keepNext w:val="0"/>
        <w:keepLines w:val="0"/>
        <w:pageBreakBefore w:val="0"/>
        <w:widowControl/>
        <w:numPr>
          <w:ilvl w:val="0"/>
          <w:numId w:val="1"/>
        </w:numPr>
        <w:kinsoku/>
        <w:wordWrap/>
        <w:overflowPunct/>
        <w:topLinePunct w:val="0"/>
        <w:autoSpaceDE/>
        <w:autoSpaceDN/>
        <w:bidi w:val="0"/>
        <w:adjustRightInd/>
        <w:snapToGrid/>
        <w:spacing w:after="150"/>
        <w:ind w:left="0" w:leftChars="0"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Since April 1, 2019, the Provisions on Matters Related to the Pilot Reform of Business Tax to VAT (issued by Finance and Taxation [2016] No. 36) Article 1, Item (4), item (1), item (1) of Article 2 shall cease to be implemented, and the input tax of taxpayers who acquire immovable property or immovable property projects under construction shall no longer be deducted for two years. The input tax to be deducted which has not been deducted according to the above provisions before may be deducted from the output tax starting from the tax period in April 2019.      </w:t>
      </w:r>
    </w:p>
    <w:p>
      <w:pPr>
        <w:keepNext w:val="0"/>
        <w:keepLines w:val="0"/>
        <w:pageBreakBefore w:val="0"/>
        <w:widowControl/>
        <w:numPr>
          <w:ilvl w:val="0"/>
          <w:numId w:val="1"/>
        </w:numPr>
        <w:kinsoku/>
        <w:wordWrap/>
        <w:overflowPunct/>
        <w:topLinePunct w:val="0"/>
        <w:autoSpaceDE/>
        <w:autoSpaceDN/>
        <w:bidi w:val="0"/>
        <w:adjustRightInd/>
        <w:snapToGrid/>
        <w:spacing w:after="150"/>
        <w:ind w:left="0" w:leftChars="0"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If a taxpayer purchases domestic passenger transport services, the input tax is allowed to be deducted from the output tax. </w:t>
      </w:r>
    </w:p>
    <w:p>
      <w:pPr>
        <w:keepNext w:val="0"/>
        <w:keepLines w:val="0"/>
        <w:pageBreakBefore w:val="0"/>
        <w:widowControl/>
        <w:numPr>
          <w:ilvl w:val="0"/>
          <w:numId w:val="0"/>
        </w:numPr>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(i)Where the taxpayer has not obtained the special VAT invoice, the input tax shall be temporarily determined in accordance with the following provisions:</w:t>
      </w:r>
    </w:p>
    <w:p>
      <w:pPr>
        <w:keepNext w:val="0"/>
        <w:keepLines w:val="0"/>
        <w:pageBreakBefore w:val="0"/>
        <w:widowControl/>
        <w:numPr>
          <w:ilvl w:val="0"/>
          <w:numId w:val="2"/>
        </w:numPr>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Where an electronic ordinary VAT invoice is obtained, it shall be the amount of tax indicated on the invoice;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2. Where an air transport electronic passenger ticket itinerary indicating the identity of the passenger is obtained, the input tax shall be calculated in accordance with the following formula: Air passenger transport input tax = (fare + fuel surcharge) ÷ (1+9%) ×9%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3. If a railway ticket indicating the passenger's identity information is obtained, the input tax shall be calculated according to the following formula:Input tax for railway passenger transportation = ticket amount ÷ (1+9%) ×9%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4. For highway, waterway and other passenger tickets marked with passenger identity information, input tax shall be calculated according to the following formula: Input tax on road, waterway and other passenger transportation = ticket amount ÷ (1+3%) ×3%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(ii) "Business tax to VAT pilot implementation measures" (Finance and taxation [2016] No. 36 issued) Article 27 (6) and "Business tax to VAT pilot related matters provisions" (finance and taxation [2016] No. 36 issued) Article 2 (1) item 5 in the "purchased passenger transport services, loan services, catering services, residents' daily services and entertainment "Music service" is amended to "purchased loan service, catering service, residents' daily service and entertainment service".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7. From April 1, 2019 to December 31, 2021, taxpayers of production and household services are allowed to deduct 10% more of the input tax in accordance with the deductible for the current period to offset the tax payable (hereinafter referred to as the additional deduction policy).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(i) Taxpayers of production and living services as mentioned in this announcement refer to taxpayers whose sales volume of postal services, telecommunication services, modern services and living services (hereinafter referred to as the four services) accounts for more than 50% of the total sales volume. The specific scope of the four services shall be implemented in accordance with the "Sales Services, Intangible Assets, Real Estate Notes" (issued by Finance and Taxation [2016] No. 36).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For taxpayers established before March 31, 2019, whose sales during the period from April 2018 to March 2019 (if the operating period is less than 12 months, according to the sales during the actual operating period) meet the above specified conditions, the additional deduction and deduction policy shall apply from April 1, 2019.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For taxpayers established after April 1, 2019, whose sales of 3 months from the date of establishment meet the above prescribed conditions, the additional deduction and deduction policy will apply from the date of registration as a general taxpayer.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After the taxpayer determines that the additional deduction policy is applicable, it will not be adjusted within the current year. Whether it is applicable in subsequent years shall be determined according to the sales of the previous year.</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The amount of additional deductions and deductions that the taxpayer can deduct but does not deduct may be calculated together with the period in which the additional deductions and deductions policy is determined to apply.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(ii) The taxpayer shall calculate the amount of additional credit or deduction for the current period according to 10% of the input tax that can be deducted for the current period. For input tax that cannot be deducted from output tax according to the current regulations, no additional credit or deduction shall be accrued; Where the input tax has already been deducted from the input tax, and the input tax is transferred out according to the provisions, the amount of the input tax shall be adjusted and added accordingly during the period in which the input tax is transferred out. The calculation formula is as follows: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Current accrued deductions = current deductible input tax x 10%</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Current period deductible deductions = Balance of previous period deductible deductions +current period deductible deductions - current period adjustment and deductible deductions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(iii) Taxpayers shall, after calculating the tax payable under the general method of tax calculation in accordance with the current provisions (hereinafter referred to as the tax payable before the deduction), deduct the deduction in the following cases: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1. If the tax payable before the deduction is equal to zero, the total amount of the deduction and deduction can be carried forward to the next period;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2. If the tax payable before the deduction is greater than zero and greater than the deductible amount of the current period, the total amount of the deductible amount of the current period is deducted from the tax payable before the deduction;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3. If the tax payable before the deduction is greater than zero, and is less than or equal to the deductible amount of the deduction, the tax payable shall be deducted from the deductible amount of the deduction to zero. The uncompleted deductible amount for the current period shall be carried forward to the next period for further destructibility.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(iv) Taxpayers exporting goods and services, cross-border taxable activities are not applicable to the additional deduction policy, and the corresponding input tax shall not be deducted from the additional deduction.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If a taxpayer concurrently engages in export goods and services, commits cross-border taxable acts and cannot divide the amount of input tax that cannot be deducted and deducted, the input tax shall be calculated according to the following formula: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Input tax not eligible for deduction = Total input tax that cannot be divided in the current period × sales of export goods and services and cross-border taxable activities in the current period ÷ total sales in the current period</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(v) The taxpayer shall separately calculate the changes in the provision, deduction, adjustment, balance and other changes of the amount of additional deduction. Those who fraudulently apply the policy of additional deduction or deduction or falsely increase the amount of deduction or deduction shall be dealt with in accordance with the Law of the People's Republic of China on the Administration of Tax Collection and other relevant provisions.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(vi) After the implementation of the additional deduction policy expires, the taxpayer shall no longer deduct the additional deduction and deduction, and the remaining additional deduction and deduction shall cease to be deducted.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8. Starting from April 1, 2019, we will try out a tax rebate system for VAT credits at the end of the period.</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(i) Taxpayers who meet the following conditions at the same time may apply to the competent tax authorities for refund of the incremental tax credit: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1. Starting from the tax period in April 2019, the incremental retained tax credit shall be greater than zero for six consecutive months (for quarterly tax payment, two consecutive quarters), and the incremental retained tax credit for the sixth month shall not be less than 500,000 yuan;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2. The tax credit level is Class A or Class B;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3. No fraudulent withholding of tax refund, export tax refund or false issuance of special VAT invoices occurred 36 months before the application for tax refund;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4. Has not been punished twice or more by the tax authorities for tax evasion in the 36 months before the application for tax refund;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5.Those who have not enjoyed the policy of tax refund or tax refund after tax refund since April 1, 2019.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(ii) The incremental retained tax credit mentioned in this announcement refers to the newly increased retained tax credit at the end of the period as compared with the end of March 2019.</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(iii) The incremental tax credit allowed to be refunded by the taxpayer for the current period shall be calculated according to the following formula: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Allowable refundable incremental retained tax credit = incremental retained tax credit × input component ratio × 60%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The input composition ratio refers to the proportion of the VAT indicated in the special VAT invoice (including the unified invoice for the sale of tax-controlled motor vehicles), the special payment letter for Customs import VAT, and the tax payment certificate of the tax paid in the total input tax deducted during the same period from April 2019 to the period before the application for tax refund.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(iv) Taxpayers shall, within the period of VAT declaration, apply to the competent tax authorities for the refund of the retained tax credit.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(v) Taxpayers exporting goods and services, cross-border taxable behavior, applicable to the tax exemption measures, after the tax exemption, still meet the conditions stipulated in this announcement, may apply for refund of tax credit; Where the tax exemption method is applicable, the relevant input tax shall not be used to refund the retained tax credit.</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(vi) After the taxpayer obtains the refunded retained tax credit, the current retained tax credit shall be adjusted accordingly. Where the conditions for tax refund are met again in accordance with the provisions of this Article, the taxpayer may continue to apply to the competent tax authorities for the refund of the retained tax credit. However, the continuous period specified in Item(1) of this article shall not be calculated repeatedly.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(vii) Where a person fraudulently obtains a tax refund by falsely increasing items, making a false declaration or other deceptive means, the tax authorities shall recover the tax refund he fraudulently obtained and deal with it in accordance with the Law of the People's Republic of China on the Administration of Tax Collection and other relevant provisions.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 xml:space="preserve">(viii) The central and local sharing mechanisms for refunded incremental tax credits shall be notified separately. </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 xml:space="preserve">9. This Announcement shall take effect as of April 1, 2019. </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kern w:val="0"/>
          <w:sz w:val="21"/>
          <w:szCs w:val="21"/>
          <w:lang w:eastAsia="zh-CN" w:bidi="ar"/>
        </w:rPr>
        <w:t>It is hereby announced.</w:t>
      </w:r>
    </w:p>
    <w:p>
      <w:pPr>
        <w:keepNext w:val="0"/>
        <w:keepLines w:val="0"/>
        <w:pageBreakBefore w:val="0"/>
        <w:widowControl/>
        <w:kinsoku/>
        <w:wordWrap/>
        <w:overflowPunct/>
        <w:topLinePunct w:val="0"/>
        <w:autoSpaceDE/>
        <w:autoSpaceDN/>
        <w:bidi w:val="0"/>
        <w:adjustRightInd/>
        <w:snapToGrid/>
        <w:spacing w:after="150"/>
        <w:ind w:firstLine="420" w:firstLineChars="200"/>
        <w:jc w:val="right"/>
        <w:textAlignment w:val="auto"/>
        <w:rPr>
          <w:rFonts w:hint="eastAsia" w:ascii="Times New Roman" w:hAnsi="Times New Roman" w:cs="Times New Roman"/>
          <w:kern w:val="0"/>
          <w:sz w:val="21"/>
          <w:szCs w:val="21"/>
          <w:lang w:val="en-US" w:eastAsia="zh-CN" w:bidi="ar"/>
        </w:rPr>
      </w:pPr>
      <w:r>
        <w:rPr>
          <w:rFonts w:hint="eastAsia" w:ascii="Times New Roman" w:hAnsi="Times New Roman" w:cs="Times New Roman"/>
          <w:kern w:val="0"/>
          <w:sz w:val="21"/>
          <w:szCs w:val="21"/>
          <w:lang w:val="en-US" w:eastAsia="zh-CN" w:bidi="ar"/>
        </w:rPr>
        <w:t>General Administration of Customs, General Administration of Taxation</w:t>
      </w:r>
    </w:p>
    <w:p>
      <w:pPr>
        <w:keepNext w:val="0"/>
        <w:keepLines w:val="0"/>
        <w:pageBreakBefore w:val="0"/>
        <w:widowControl/>
        <w:kinsoku/>
        <w:wordWrap/>
        <w:overflowPunct/>
        <w:topLinePunct w:val="0"/>
        <w:autoSpaceDE/>
        <w:autoSpaceDN/>
        <w:bidi w:val="0"/>
        <w:adjustRightInd/>
        <w:snapToGrid/>
        <w:spacing w:after="150"/>
        <w:ind w:firstLine="420" w:firstLineChars="200"/>
        <w:jc w:val="right"/>
        <w:textAlignment w:val="auto"/>
        <w:rPr>
          <w:rFonts w:hint="default" w:ascii="Times New Roman" w:hAnsi="Times New Roman" w:cs="Times New Roman"/>
          <w:kern w:val="0"/>
          <w:sz w:val="21"/>
          <w:szCs w:val="21"/>
          <w:lang w:bidi="ar"/>
        </w:rPr>
      </w:pPr>
      <w:r>
        <w:rPr>
          <w:rFonts w:hint="eastAsia" w:ascii="Times New Roman" w:hAnsi="Times New Roman" w:cs="Times New Roman"/>
          <w:kern w:val="0"/>
          <w:sz w:val="21"/>
          <w:szCs w:val="21"/>
          <w:lang w:val="en-US" w:eastAsia="zh-CN" w:bidi="ar"/>
        </w:rPr>
        <w:t>March 20, 2019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E84FAE"/>
    <w:multiLevelType w:val="singleLevel"/>
    <w:tmpl w:val="CCE84FAE"/>
    <w:lvl w:ilvl="0" w:tentative="0">
      <w:start w:val="4"/>
      <w:numFmt w:val="decimal"/>
      <w:suff w:val="space"/>
      <w:lvlText w:val="%1."/>
      <w:lvlJc w:val="left"/>
    </w:lvl>
  </w:abstractNum>
  <w:abstractNum w:abstractNumId="1">
    <w:nsid w:val="FE526564"/>
    <w:multiLevelType w:val="singleLevel"/>
    <w:tmpl w:val="FE52656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00000000"/>
    <w:rsid w:val="03950DF0"/>
    <w:rsid w:val="0A79269B"/>
    <w:rsid w:val="214E623A"/>
    <w:rsid w:val="3E150B79"/>
    <w:rsid w:val="54DC4DFD"/>
    <w:rsid w:val="61221321"/>
    <w:rsid w:val="631308DA"/>
    <w:rsid w:val="6BDB5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2024-03-12T03:04:00Z</dcterms:created>
  <dc:creator>再飞行</dc:creator>
  <cp:lastModifiedBy>抬头望下玄月</cp:lastModifiedBy>
  <dcterms:modified xsi:type="dcterms:W3CDTF">2024-03-12T08:01:56Z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1C318B913D0B49BBBDA80C15570C1994_12</vt:lpwstr>
  </property>
</Properties>
</file>